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514</w:t>
      </w:r>
    </w:p>
    <w:p>
      <w:r>
        <w:t>Bundesgericht (BGE), 2018-09-13, FR</w:t>
      </w:r>
    </w:p>
    <w:p>
      <w:r>
        <w:rPr>
          <w:b/>
        </w:rPr>
        <w:t xml:space="preserve">Quelle: </w:t>
      </w:r>
      <w:r>
        <w:t>https://mcp.opencaselaw.ch/entscheid/bge_144 III 514</w:t>
      </w:r>
    </w:p>
    <w:p>
      <w:r>
        <w:t>FR: ATF 144 III 514</w:t>
      </w:r>
    </w:p>
    <w:p>
      <w:r>
        <w:t>IT: DTF 144 III 514</w:t>
      </w:r>
    </w:p>
    <w:p>
      <w:pPr>
        <w:pStyle w:val="Heading2"/>
      </w:pPr>
      <w:r>
        <w:t>Regeste</w:t>
      </w:r>
    </w:p>
    <w:p>
      <w:r>
        <w:t>Regeste Art. 269, 269a und 270 Abs. 1 OR; Klage auf Anfechtung des Anfangsmietzinses; Vorrang des absoluten Kriteriums der orts- oder quartierüblichen Mietzinse für Altliegenschaften; Begriff der Altliegenschaft. Eine Liegenschaft ist alt, wenn ihre Erstellung oder ihr letzter Erwerb beim Anfang der Miete mindestens 30 Jahre zurückliegt (E. 3).</w:t>
      </w:r>
    </w:p>
    <w:p>
      <w:pPr>
        <w:pStyle w:val="Heading2"/>
      </w:pPr>
      <w:r>
        <w:t>Erwägungen</w:t>
      </w:r>
    </w:p>
    <w:p>
      <w:r>
        <w:rPr>
          <w:b/>
        </w:rPr>
        <w:t>E. 3</w:t>
      </w:r>
    </w:p>
    <w:p>
      <w:r>
        <w:t>Est seule litigieuse à ce stade la question de la qualification de l'immeuble (ancien ou non) de la bailleresse.</w:t>
      </w:r>
    </w:p>
    <w:p>
      <w:r>
        <w:rPr>
          <w:b/>
        </w:rPr>
        <w:t>E. 3.1</w:t>
      </w:r>
    </w:p>
    <w:p>
      <w:r>
        <w:t>La cour cantonale observe que "le Tribunal fédéral ne s'est à ce jour pas expressément prononcé sur l'âge minimal que devait avoir un immeuble pour être qualifié d'ancien". Elle relève toutefois que, selon la jurisprudence, des immeubles de 26 et 27 ans ne sont pas anciens et que l'immeuble litigieux de 31 ans - qui ne présente que quatre (ou cinq) ans de différence avec ces deux précédents et qui est géré par une professionnelle de l'immobilier étant tenue de compter avec la possibilité de devoir produire les pièces permettant un calcul de rendement - appelle la même qualification, ce que les intimés rapellent dans leurs écritures. La recourante considère au contraire qu'il résulte clairement de la jurisprudence fédérale qu'un immeuble acquis il y a plus de 30 ans est ancien. Les parties ne contestent donc pas en soi la jurisprudence du Tribunal fédéral mais, entreprenant chacune une lecture différente de celle-ci, elles ne s'accordent pas quant à la qualification d'un immeuble de 31 ans. Dès lors que la méthode applicable pour vérifier si le loyer est abusif est fondamentalement différente si l'immeuble est ancien BGE 144 III 514 S. 517 ou s'il ne l'est pas, il est nécessaire d'apporter une clarification quant à l'âge à partir duquel un immeuble doit être qualifié d'ancien.</w:t>
      </w:r>
    </w:p>
    <w:p>
      <w:r>
        <w:rPr>
          <w:b/>
        </w:rPr>
        <w:t>E. 3.2</w:t>
      </w:r>
    </w:p>
    <w:p>
      <w:r>
        <w:t>Initialement, la jurisprudence s'est servie d'une limite non chiffrée pour opérer la qualification: elle a ainsi considéré qu'un immeuble est "ancien" s'il a été construit ou acquis il y a "plusieurs décennies" ( vor mehreren Jahrzehnten ; ATF 140 III 433 consid. 3.1.1 p. 435 s.; ATF 139 III 13 consid. 3.1.2; arrêts 4A_295/2016 du 29 novembre 2016 consid. 5.1.1; 4A_211/2015 du 8 décembre 2015 consid. 3.1; 4A_517/2014 du 2 février 2015; 4A_623/2013 du 11 avril 2014 consid. 2.2.2; 4A_645/2011 du 27 janvier 2012 consid. 3.3; 4C.323/2001 du 9 avril 2002 consid. 3a in fine, in SJ 2002 I p. 434). Plus récemment, le Tribunal fédéral a considéré qu'il était conforme au droit fédéral ("il n'est pas contraire au droit fédéral") de retenir que des immeubles construits il y a moins de 30 ans ne sont pas anciens (in casu des immeubles de 26 et 27 ans, ATF 140 III 433 consid. 3.1.1, cité dans l'arrêt 4A_465/2015 du 1 er mars 2016 consid. 4.6). En fonction de ce critère, il a ensuite retenu qu'un immeuble dont la construction ou la dernière acquisition remonte à 32 ans doit être qualifié d'ancien (arrêt 4A_147/2016 du 12 septembre 2016 consid. 2.3). Sur la base des précédents qui viennent d'être évoqués, qui s'inscrivent dans le prolongement du critère général reposant sur une période de "plusieurs décennies", le Tribunal fédéral considère qu'un immeuble est ancien lorsque sa construction ou sa dernière acquisition est de 30 ans au moins au moment du début du bail (en ce sens, cf. HANS BÄTTIG ET AL., Das schweizerische Mietrecht, Kommentar, 4 e éd. 2018, n° 6 ad art. 269a CO in initio, qui infère cette limite chiffrée de la jurisprudence actuelle; THOMAS KOLLER, Die mietrechtliche Rechtsprechung des Bundesgerichts im Jahr 2014, RJB 152/2016 p. 31; plaidant pour une telle limite: FRANÇOIS BOHNET, in Droit du bail à loyer, Bohnet/Carron/Montini [éd.], 2 e éd. 2017, n° 36 ad art. 269 CO ). Le délai de 30 ans commence donc à courir soit à la date de la construction de l'immeuble ( Datum der Erstellung der Liegenschaft ), soit à celle de sa dernière acquisition ( Datum des letzten Erwerbs der Liegenschaft ), et doit être échu au moment du début du bail ( Anfang der Miete ).</w:t>
      </w:r>
    </w:p>
    <w:p>
      <w:r>
        <w:rPr>
          <w:b/>
        </w:rPr>
        <w:t>E. 3.3</w:t>
      </w:r>
    </w:p>
    <w:p>
      <w:r>
        <w:t>On ne peut rien tirer en sens inverse de l' ATF 140 III 433 consid. 3.1.2, cité par la cour cantonale, dans lequel le Tribunal fédéral n'a utilisé que le critère de la possibilité de produire les documents BGE 144 III 514 S. 518 relatifs aux investissements pour retenir que des immeubles de 26 et 27 ans n'étaient pas anciens. Contrairement à ce qu'a considéré l'autorité précédente, on ne peut pas se baser sur la qualité de propriétaire institutionnel ou professionnel de l'immobilier du bailleur, parce que ce critère ne tient pas compte du fait que les montants au moment de la construction ou de l'achat peuvent ne plus être en raport avec les valeurs actuelles et que, pour assurer une égalité de traitement entre les locataires de différents immeubles, l'ancienneté de l'immeuble ne peut pas dépendre de la qualité du bailleur. On ne saurait en outre justifier, comme semble l'envisager la cour précédente, une différence de traitement entre les bailleurs professionnels et les bailleurs "privés" au motif que les premiers seraient également soumis à une obligation de conservation de dix ans notamment pour les livres et les pièces comptables ( art. 958f al. 1 CO ). Cette exigence de conservation, qui complète les règles fondamentales sur l'établissement des comptes (cf. art. 958a ss CO ), a pour seul but de favoriser le contrôle de la comptabilité et de la présentation des comptes (cf. art. 957a al. 3 CO ; entre autres auteurs, cf. MARIE WINKLER, Nouvelle obligation de tenir une comptabilité et de présenter des comptes, L'expert fiduciaire 2/2013 p. 92). Il s'agit dès lors d'une problématique distincte de celle relevant de la protection contre les loyers abusifs (examen de la méthode permettant de contrôler l'admissibilité du loyer initial) et on ne saurait donc en inférer un quelconque indice pour éclaircir une question qui relève spécifiquement du droit du bail.</w:t>
      </w:r>
    </w:p>
    <w:p>
      <w:r>
        <w:rPr>
          <w:b/>
        </w:rPr>
        <w:t>E. 3.4</w:t>
      </w:r>
    </w:p>
    <w:p>
      <w:r>
        <w:t>En l'espèce, la bailleresse est devenue propriétaire de l'immeuble le 16 décembre 1982 et le bail a débuté le 1 er octobre 2014. Il s'est ainsi écoulé plus de 31 ans entre les deux moments décisifs, de sorte que l'on se trouve bien en présence d'un immeuble ancien. Pour un tel immeuble, les chiffres de l'année d'acquisition ne sont en règle générale plus en rapport avec la réalité économique actuelle. Il s'ensuit que, pour déterminer si le loyer initial convenu est abusif, le bailleur peut se baser en priorité sur le critère des loyers usuels de la localité ou du quartier.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